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AC" w:rsidRDefault="005A44AC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5A44AC" w:rsidRDefault="005A44AC">
      <w:pPr>
        <w:pStyle w:val="ConsPlusTitle"/>
        <w:jc w:val="center"/>
      </w:pPr>
      <w:r>
        <w:t>РОССИЙСКОЙ ФЕДЕРАЦИИ</w:t>
      </w:r>
    </w:p>
    <w:p w:rsidR="005A44AC" w:rsidRDefault="005A44AC">
      <w:pPr>
        <w:pStyle w:val="ConsPlusTitle"/>
        <w:jc w:val="center"/>
      </w:pPr>
    </w:p>
    <w:p w:rsidR="005A44AC" w:rsidRDefault="005A44AC">
      <w:pPr>
        <w:pStyle w:val="ConsPlusTitle"/>
        <w:jc w:val="center"/>
      </w:pPr>
      <w:r>
        <w:t>ПРИКАЗ</w:t>
      </w:r>
    </w:p>
    <w:p w:rsidR="005A44AC" w:rsidRDefault="005A44AC">
      <w:pPr>
        <w:pStyle w:val="ConsPlusTitle"/>
        <w:jc w:val="center"/>
      </w:pPr>
      <w:r>
        <w:t>от 19 апреля 2007 г. N 283</w:t>
      </w:r>
    </w:p>
    <w:p w:rsidR="005A44AC" w:rsidRDefault="005A44AC">
      <w:pPr>
        <w:pStyle w:val="ConsPlusTitle"/>
        <w:jc w:val="center"/>
      </w:pPr>
    </w:p>
    <w:p w:rsidR="005A44AC" w:rsidRDefault="005A44AC">
      <w:pPr>
        <w:pStyle w:val="ConsPlusTitle"/>
        <w:jc w:val="center"/>
      </w:pPr>
      <w:r>
        <w:t>КРИТЕРИИ ОЦЕНКИ ЭФФЕКТИВНОСТИ РАБОТЫ</w:t>
      </w:r>
    </w:p>
    <w:p w:rsidR="005A44AC" w:rsidRDefault="005A44AC">
      <w:pPr>
        <w:pStyle w:val="ConsPlusTitle"/>
        <w:jc w:val="center"/>
      </w:pPr>
      <w:r>
        <w:t>ВРАЧА-ПЕДИАТРА УЧАСТКОВОГО</w:t>
      </w:r>
    </w:p>
    <w:p w:rsidR="005A44AC" w:rsidRDefault="005A44AC">
      <w:pPr>
        <w:pStyle w:val="ConsPlusNormal"/>
        <w:jc w:val="center"/>
      </w:pPr>
    </w:p>
    <w:p w:rsidR="005A44AC" w:rsidRDefault="005A44A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2080), и в целях дальнейшего совершенствования организации медико-санитарной помощи детям, приказываю: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 xml:space="preserve">1. Утвердить Критерии оценки эффективности работы врача-педиатра участкового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2. Рекомендовать руководителям органов управления здравоохранением субъектов Российской Федерации и местного самоуправления руководствоваться настоящим приказом при организации работы врачей-педиатров участковых.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В.И.Стародубова.</w:t>
      </w:r>
    </w:p>
    <w:p w:rsidR="005A44AC" w:rsidRDefault="005A44AC">
      <w:pPr>
        <w:pStyle w:val="ConsPlusNormal"/>
        <w:jc w:val="right"/>
      </w:pPr>
      <w:r>
        <w:t>Министр</w:t>
      </w:r>
    </w:p>
    <w:p w:rsidR="005A44AC" w:rsidRDefault="005A44AC">
      <w:pPr>
        <w:pStyle w:val="ConsPlusNormal"/>
        <w:jc w:val="right"/>
      </w:pPr>
      <w:r>
        <w:t>М.ЗУРАБОВ</w:t>
      </w:r>
    </w:p>
    <w:p w:rsidR="005A44AC" w:rsidRDefault="005A44AC">
      <w:pPr>
        <w:pStyle w:val="ConsPlusNormal"/>
        <w:ind w:firstLine="540"/>
        <w:jc w:val="both"/>
      </w:pPr>
    </w:p>
    <w:p w:rsidR="005A44AC" w:rsidRDefault="005A44AC">
      <w:pPr>
        <w:pStyle w:val="ConsPlusNormal"/>
        <w:ind w:firstLine="540"/>
        <w:jc w:val="both"/>
      </w:pPr>
    </w:p>
    <w:p w:rsidR="005A44AC" w:rsidRDefault="005A44AC">
      <w:pPr>
        <w:pStyle w:val="ConsPlusNormal"/>
        <w:jc w:val="right"/>
        <w:outlineLvl w:val="0"/>
      </w:pPr>
      <w:r>
        <w:t>Приложение</w:t>
      </w:r>
    </w:p>
    <w:p w:rsidR="005A44AC" w:rsidRDefault="005A44AC">
      <w:pPr>
        <w:pStyle w:val="ConsPlusNormal"/>
        <w:jc w:val="right"/>
      </w:pPr>
      <w:r>
        <w:t>к приказу Министерства</w:t>
      </w:r>
    </w:p>
    <w:p w:rsidR="005A44AC" w:rsidRDefault="005A44AC">
      <w:pPr>
        <w:pStyle w:val="ConsPlusNormal"/>
        <w:jc w:val="right"/>
      </w:pPr>
      <w:r>
        <w:t>здравоохранения и</w:t>
      </w:r>
    </w:p>
    <w:p w:rsidR="005A44AC" w:rsidRDefault="005A44AC">
      <w:pPr>
        <w:pStyle w:val="ConsPlusNormal"/>
        <w:jc w:val="right"/>
      </w:pPr>
      <w:r>
        <w:t>социального развития</w:t>
      </w:r>
    </w:p>
    <w:p w:rsidR="005A44AC" w:rsidRDefault="005A44AC">
      <w:pPr>
        <w:pStyle w:val="ConsPlusNormal"/>
        <w:jc w:val="right"/>
      </w:pPr>
      <w:r>
        <w:t>Российской Федерации</w:t>
      </w:r>
    </w:p>
    <w:p w:rsidR="005A44AC" w:rsidRDefault="005A44AC">
      <w:pPr>
        <w:pStyle w:val="ConsPlusNormal"/>
        <w:jc w:val="right"/>
      </w:pPr>
      <w:r>
        <w:t>от 19 апреля 2007 г. N 283</w:t>
      </w:r>
    </w:p>
    <w:p w:rsidR="005A44AC" w:rsidRDefault="005A44AC">
      <w:pPr>
        <w:pStyle w:val="ConsPlusNormal"/>
        <w:ind w:firstLine="540"/>
        <w:jc w:val="both"/>
      </w:pPr>
    </w:p>
    <w:p w:rsidR="005A44AC" w:rsidRDefault="005A44AC">
      <w:pPr>
        <w:pStyle w:val="ConsPlusTitle"/>
        <w:jc w:val="center"/>
      </w:pPr>
      <w:bookmarkStart w:id="0" w:name="P29"/>
      <w:bookmarkEnd w:id="0"/>
      <w:r>
        <w:t>КРИТЕРИИ</w:t>
      </w:r>
    </w:p>
    <w:p w:rsidR="005A44AC" w:rsidRDefault="005A44AC">
      <w:pPr>
        <w:pStyle w:val="ConsPlusTitle"/>
        <w:jc w:val="center"/>
      </w:pPr>
      <w:r>
        <w:t>ОЦЕНКИ ЭФФЕКТИВНОСТИ РАБОТЫ ВРАЧА-ПЕДИАТРА УЧАСТКОВОГО</w:t>
      </w:r>
    </w:p>
    <w:p w:rsidR="005A44AC" w:rsidRDefault="005A44AC">
      <w:pPr>
        <w:pStyle w:val="ConsPlusNormal"/>
        <w:ind w:firstLine="540"/>
        <w:jc w:val="both"/>
      </w:pPr>
    </w:p>
    <w:p w:rsidR="005A44AC" w:rsidRDefault="005A44AC">
      <w:pPr>
        <w:pStyle w:val="ConsPlusNormal"/>
        <w:ind w:firstLine="540"/>
        <w:jc w:val="both"/>
      </w:pPr>
      <w:r>
        <w:t xml:space="preserve">1. Основной целью введения критериев оценки эффективности работы </w:t>
      </w:r>
      <w:hyperlink r:id="rId5" w:history="1">
        <w:r>
          <w:rPr>
            <w:color w:val="0000FF"/>
          </w:rPr>
          <w:t>врача-педиатра участкового</w:t>
        </w:r>
      </w:hyperlink>
      <w:r>
        <w:t xml:space="preserve"> является оперативный анализ внутри лечебно-профилактического учреждения диагностической, лечебно-профилактической и организационной работы на педиатрическом участке для улучшения качества оказания медицинской помощи прикрепленному контингенту и мониторинга состояния здоровья детей.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2. Основными учетными медицинскими документами при оценке эффективности работы врача-педиатра участкового являются: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 xml:space="preserve">- история развития ребенка (учетная </w:t>
      </w:r>
      <w:hyperlink r:id="rId6" w:history="1">
        <w:r>
          <w:rPr>
            <w:color w:val="0000FF"/>
          </w:rPr>
          <w:t>форма N 112/у</w:t>
        </w:r>
      </w:hyperlink>
      <w:r>
        <w:t>);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 xml:space="preserve">- паспорт врачебного участка (педиатрического) (учетная </w:t>
      </w:r>
      <w:hyperlink r:id="rId7" w:history="1">
        <w:r>
          <w:rPr>
            <w:color w:val="0000FF"/>
          </w:rPr>
          <w:t>форма N 030/</w:t>
        </w:r>
        <w:proofErr w:type="spellStart"/>
        <w:r>
          <w:rPr>
            <w:color w:val="0000FF"/>
          </w:rPr>
          <w:t>у-пед</w:t>
        </w:r>
        <w:proofErr w:type="spellEnd"/>
      </w:hyperlink>
      <w:r>
        <w:t>);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 xml:space="preserve">- ведомость учета врачебных посещений в амбулаторно-поликлинических учреждениях, на дому (учетная </w:t>
      </w:r>
      <w:hyperlink r:id="rId8" w:history="1">
        <w:r>
          <w:rPr>
            <w:color w:val="0000FF"/>
          </w:rPr>
          <w:t>форма N 039/у-02</w:t>
        </w:r>
      </w:hyperlink>
      <w:r>
        <w:t>).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 xml:space="preserve">3. По результатам проверки эффективности работы врачей-педиатров участковых </w:t>
      </w:r>
      <w:r>
        <w:lastRenderedPageBreak/>
        <w:t>составляется акт с выводами и конкретными предложениями по совершенствованию лечебно-диагностической и профилактической работы на педиатрическом участке и план работы по устранению выявленных в ходе проверки недостатков.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4. Рекомендуется использовать следующие критерии оценки эффективности работы врача-педиатра участкового: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4.1. Оценка профилактической работы врачей-педиатров участковых по следующим показателям: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а) охват дородовыми патронажами беременных.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Данный показатель рассчитывается путем умножения количества проведенных дородовых патронажей беременных на 100 и деления на количество подлежащих дородовым патронажам беременных;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б) охват патронажем детей первого года жизни.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Данный показатель рассчитывается путем умножения количества проведенных врачебных патронажей детей первого года жизни на 100 и деления на количество плановых врачебных патронажей детей первого года жизни;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в) полнота охвата профилактическими осмотрами детей.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Данный показатель рассчитывается путем умножения числа осмотренных детей во время профилактических осмотров на 100 и деления на число детей соответствующего возраста, подлежащих профилактическим осмотрам.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Полнота охвата детей профилактическими осмотрами должна составлять не менее 95% от общего числа детей соответствующего возраста, подлежащих профилактическим осмотрам, в том числе на первом году жизни ребенка - 100% (в 1 месяц, 3 месяца, 6 месяцев, 9 месяцев, 12 месяцев жизни ребенка);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 xml:space="preserve">г) полнота охвата профилактическими прививками детей в соответствии с Национальным </w:t>
      </w:r>
      <w:hyperlink r:id="rId9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Полнота охвата профилактическими прививками детей должна составлять не менее 95% от общего числа детей подлежащих прививкам;</w:t>
      </w:r>
    </w:p>
    <w:p w:rsidR="005A44AC" w:rsidRDefault="005A44A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удельный вес числа детей первого года жизни, находящихся на грудном вскармливании.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Удельный вес детей первого года жизни, находящихся на грудном вскармливании, должен составлять в возрасте: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- 3 месяцев - не менее 80%;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- 6 месяцев - не менее 50%;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- 9 месяцев - не менее 30%.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4.2. Оценка качества медицинской помощи детям на врачебном (педиатрическом) участке по следующим показателям: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а) качество диспансерного наблюдения детей: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- удельный вес детей, состоящих под диспансерным наблюдением в общем числе детей, прикрепленных к педиатрическому участку;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lastRenderedPageBreak/>
        <w:t>- полнота охвата диспансерным наблюдением по нозологическим формам (должна составлять не менее 90% от общего числа детей, состоящих под диспансерном наблюдением);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- удельный вес детей, снятых с диспансерного наблюдения по выздоровлению, должен составлять не менее 10% от общего числа детей, состоящих под диспансерным наблюдением;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- удельный вес детей с улучшением состояния здоровья должен составлять не менее 10% от общего числа детей, состоящих под диспансерным наблюдением;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- динамика численности детей-инвалидов;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б) полнота охвата лечебно-профилактической помощью детей, состоящих под диспансерным наблюдением: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- удельный вес детей, госпитализированных в плановом порядке, от общего числа детей, состоящих под диспансерным наблюдением и нуждающихся в плановой госпитализации;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- удельный вес детей, направленных в плановом порядке в санаторно-курортные учреждения, от общего числа детей, состоящих под диспансерным наблюдением и нуждающихся в плановом санаторно-курортном лечении;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 xml:space="preserve">- удельный вес детей, получивших </w:t>
      </w:r>
      <w:proofErr w:type="spellStart"/>
      <w:r>
        <w:t>противорецидивное</w:t>
      </w:r>
      <w:proofErr w:type="spellEnd"/>
      <w:r>
        <w:t xml:space="preserve"> лечение, от общего числа детей, состоящих под диспансерным наблюдением и нуждающихся в </w:t>
      </w:r>
      <w:proofErr w:type="spellStart"/>
      <w:r>
        <w:t>противорецидивном</w:t>
      </w:r>
      <w:proofErr w:type="spellEnd"/>
      <w:r>
        <w:t xml:space="preserve"> лечение;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в) удельный вес количества выполненных индивидуальных программ реабилитации детей-инвалидов от общего числа детей-инвалидов;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г) обоснованность назначения лекарственных средств и соблюдение правил выписки рецептов пациентам, в том числе имеющим право на получение набора социальных услуг.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4.3. Оценка динамики заболеваемости детей: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а) динамика показателя первичной заболеваемости у детей.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Данный показатель рассчитывается путем умножения количества установленных впервые в отчетном периоде случаев первичной заболеваемости у детей на 100 и деления на число детей, прикрепленных к врачебному участку (педиатрическому);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б) динамика показателя общей заболеваемости (распространенность) у детей.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Данный показатель рассчитывается путем умножения количества установленных в отчетном периоде случаев общей заболеваемости (распространенности) у детей на 100 и деления на число детей, прикрепленных к врачебному участку (педиатрическому).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Анализ в динамике уровней первичной и общей заболеваемости у детей по нозологическим формам заболеваний позволяет выявить дефекты в оказании медицинской помощи, негативно влияющие на диагностику, профилактику и лечение, и в дальнейшем планировать мероприятия по их устранению.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4.4. Анализ случаев смерти детей на дому, в том числе детей первого года жизни.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 xml:space="preserve">4.5. Анализ случаев </w:t>
      </w:r>
      <w:proofErr w:type="spellStart"/>
      <w:r>
        <w:t>досуточной</w:t>
      </w:r>
      <w:proofErr w:type="spellEnd"/>
      <w:r>
        <w:t xml:space="preserve"> летальности детей в стационаре, в том числе детей первого года жизни.</w:t>
      </w:r>
    </w:p>
    <w:p w:rsidR="005A44AC" w:rsidRDefault="005A44AC">
      <w:pPr>
        <w:pStyle w:val="ConsPlusNormal"/>
        <w:spacing w:before="220"/>
        <w:ind w:firstLine="540"/>
        <w:jc w:val="both"/>
      </w:pPr>
      <w:r>
        <w:t>5. При необходимости в учреждениях здравоохранения могут использоваться иные дополнительные критерии оценки эффективности работы врача-педиатра участкового.</w:t>
      </w:r>
    </w:p>
    <w:p w:rsidR="005A44AC" w:rsidRDefault="005A44AC">
      <w:pPr>
        <w:pStyle w:val="ConsPlusNormal"/>
        <w:ind w:firstLine="540"/>
        <w:jc w:val="both"/>
      </w:pPr>
    </w:p>
    <w:p w:rsidR="005A44AC" w:rsidRDefault="005A44AC">
      <w:pPr>
        <w:pStyle w:val="ConsPlusNormal"/>
        <w:ind w:firstLine="540"/>
        <w:jc w:val="both"/>
      </w:pPr>
    </w:p>
    <w:p w:rsidR="005A44AC" w:rsidRDefault="005A4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47C" w:rsidRDefault="0095247C"/>
    <w:sectPr w:rsidR="0095247C" w:rsidSect="005A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44AC"/>
    <w:rsid w:val="005A44AC"/>
    <w:rsid w:val="0095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F07FF4654961721DC7A072F96402CDBB67ED6300F584E757EBB1148F79B546B35F6A00783EE2T1A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F07FF4654961721DC7A072F96402CDB865E66700F584E757EBB1148F79B546B35F6A00783EE0T1A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F07FF4654961721DC7A072F96402CDBC6EE5325CAADFBA00E2BB43C836EC04F6506F05T7A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F07FF4654961721DC7A072F96402CDBB6FEF6400F584E757EBB1148F79B546B35F6A00783EE0T1A1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2F07FF4654961721DC7A072F96402CDBE60E76703F584E757EBB1148F79B546B35F6A00783EE3T1A6H" TargetMode="External"/><Relationship Id="rId9" Type="http://schemas.openxmlformats.org/officeDocument/2006/relationships/hyperlink" Target="consultantplus://offline/ref=82F07FF4654961721DC7A072F96402CDBD62E96706F584E757EBB1148F79B546B35F6A00783EE0T1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</dc:creator>
  <cp:lastModifiedBy>Тарасенко</cp:lastModifiedBy>
  <cp:revision>1</cp:revision>
  <dcterms:created xsi:type="dcterms:W3CDTF">2018-06-15T07:00:00Z</dcterms:created>
  <dcterms:modified xsi:type="dcterms:W3CDTF">2018-06-15T07:01:00Z</dcterms:modified>
</cp:coreProperties>
</file>